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373</w:t>
      </w:r>
    </w:p>
    <w:p>
      <w:r>
        <w:t>Bundesgericht (BGE), 1989-12-18, DE</w:t>
      </w:r>
    </w:p>
    <w:p>
      <w:r>
        <w:rPr>
          <w:b/>
        </w:rPr>
        <w:t xml:space="preserve">Quelle: </w:t>
      </w:r>
      <w:r>
        <w:t>https://mcp.opencaselaw.ch/entscheid/bge_116 II 373</w:t>
      </w:r>
    </w:p>
    <w:p>
      <w:r>
        <w:t>FR: ATF 116 II 373</w:t>
      </w:r>
    </w:p>
    <w:p>
      <w:r>
        <w:t>IT: DTF 116 II 373</w:t>
      </w:r>
    </w:p>
    <w:p>
      <w:pPr>
        <w:pStyle w:val="Heading2"/>
      </w:pPr>
      <w:r>
        <w:t>Regeste</w:t>
      </w:r>
    </w:p>
    <w:p>
      <w:r>
        <w:t>Regeste Art. 190 Abs. 2 IPRG. Diese Bestimmung kennt im Gegensatz zu Art. 36 lit. h i.V.m. Art. 33 Abs. 1 lit. e des Schiedsgerichtskonkordats den Beschwerdegrund der fehlenden Begründung nicht; das Fehlen der Begründung stellt für sich allein auch keinen Verstoss gegen den ordre public dar (E. 7).</w:t>
      </w:r>
    </w:p>
    <w:p>
      <w:pPr>
        <w:pStyle w:val="Heading2"/>
      </w:pPr>
      <w:r>
        <w:t>Erwägungen</w:t>
      </w:r>
    </w:p>
    <w:p>
      <w:r>
        <w:rPr>
          <w:b/>
        </w:rPr>
        <w:t>E. 7</w:t>
      </w:r>
    </w:p>
    <w:p>
      <w:r>
        <w:t>Weiter beruft sich die Beschwerdeführerin auf die Beschwerdegründe von Art. 190 Abs. 2 lit. c und d IPRG deswegen, weil das Schiedsgericht bei der Festsetzung des für die Verzugszinsberechnung nach Art. 104 Abs. 3 OR massgebenden Diskontsatzes Rechtsbegehren willkürlich unbeurteilt gelassen und sich weder über den Zahlungsort noch über die Quellen der von ihm angewandten Verzugszinssätze geäussert, sondern sich diesbezüglich mit dem Hinweis auf "generally available sources" begnügt habe. Ein Nichtigkeitsgrund soll ferner in der fehlenden Begründung der Verteilung der Verfahrenskosten im Verhältnis 83% zu 17% liegen. a) Das Schiedsgericht hat sehr wohl über die Zinsbegehren der Beschwerdeführerin geurteilt, jedoch nicht angegeben, auf welche Bankauskünfte es für die Diskontsätze des in FF und US-$ zugesprochenen Verzugszinses abstellt. Zu prüfen bleibt die Rüge der mangelnden Begründung. b) Im Gegensatz zu Art. 36 lit. h i.V.m. Art. 33 Abs. 1 lit. e des Schiedsgerichtskonkordats (SR 279) nennt Art. 190 Abs. 2 IPRG den Beschwerdegrund der fehlenden Entscheidungsgründe nicht. Das entspricht dem Willen des Gesetzgebers, die Möglichkeit der Anfechtung von Schiedsurteilen im Vergleich zum BGE 116 II 373 S. 375 Konkordat und zu Prozessordnungen von Kantonen, die dem Konkordat nicht beigetreten sind, einzuschränken (so in anderem Zusammenhang BGE 115 II 291 E. 2b). Dem gesetzgeberischen Willen liefe es diametral zuwider, wenn der Beschwerdegrund der fehlenden Begründung dadurch Eingang in die neue Regelung fände, dass der in Art. 190 Abs. 2 lit. d IPRG garantierte Gehörsanspruch mit dem aus Art. 4 hergeleiteten Gehörsanspruch, der die Begründungspflicht einschliesst ( BGE 107 Ia 248 f. E. 3a mit Hinweisen), gleichgesetzt würde (so offenbar ANDREAS BUCHER, Le nouvel arbitrage international en Suisse, S. 118 f. N. 351). Dass sich der Einbezug der Begründungspflicht in den Gehörsanspruch nach Art. 190 Abs. 2 lit. d IPRG nicht mit der neuen Ordnung vereinbaren lässt, bestätigt der französische Gesetzestext dieser Bestimmung, der das rechtliche Gehör im Gegensatz zur deutschen und italienischen Fassung auf das Recht der Parteien "d'être entendues en procédure contradictoire" beschränkt und damit die Begründung, die dem kontradiktorischen Verfahren folgt, nicht erfasst (LALIVE/POUDRET/REYMOND, Le droit de l'arbitrage interne et international en Suisse, S. 426 N. 5d zu Art. 190 IPRG ). Zum gleichen Ergebnis führt der Gesetzeskontext. Art. 190 Abs. 2 IPRG übernimmt in lit. d nur die zwingenden Verfahrensvorschriften des Art. 182 Abs. 3 IPRG als Beschwerdegrund, nicht aber das in Art. 189 Abs. 2 IPRG für Schiedsurteile vorgeschriebene Begründungserfordernis. Die fehlende Begründung eines Schiedsurteils verstösst für sich allein auch nicht gegen den ordre public ( BGE 101 Ia 525 ff. E. 4); die Beschwerdeführerin unterlässt es denn auch, in diesem Zusammenhang Art. 190 Abs. 2 lit. e IPRG anzurufen. Es braucht deshalb auch im vorliegenden Zusammenhang nicht entschieden zu werden, ob gestützt auf Art. 190 Abs. 2 lit. e IPRG Verletzungen des verfahrensrechtlichen ordre public geltend gemacht werden können. c) Kennt Art. 190 Abs. 2 IPRG den Beschwerdegrund der fehlenden Begründung nicht, erweisen sich die bezüglichen Rügen als unzulässig. Abgesehen davon sind sie offensichtlich unbegründet. Die einlässlichen Erörterungen des Schiedsgerichts über die Diskontsätze für Dinarschulden zeigen, dass es den Zinsfuss nach dem Diskont der Banken des Landes der jeweils geschuldeten Währung festgesetzt hat. Dass die Verfahrenskosten nach Massgabe des Obsiegens und Unterliegens verteilt worden sind, versteht sich von selbst, auch wenn im angefochtenen Urteil bloss steht, die Kostenverteilung erfolge "in view of the circumstances".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